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Місто пишне, місто бідне...</w:t>
      </w:r>
    </w:p>
    <w:p>
      <w:r>
        <w:br/>
        <w:t xml:space="preserve"> Місто пишне, місто бідне,&lt;br /&gt;</w:t>
        <w:br/>
        <w:t>Дух тюрми, палат черга,&lt;br /&gt;</w:t>
        <w:br/>
        <w:t>Це склепіння неба блідне,&lt;br /&gt;</w:t>
        <w:br/>
        <w:t>Камінь, холод і нудьга,—&lt;br /&gt;</w:t>
        <w:br/>
        <w:t>Все ж до вас у мене звичка,&lt;br /&gt;</w:t>
        <w:br/>
        <w:t>Бо в пустелі цій сумній&lt;br /&gt;</w:t>
        <w:br/>
        <w:t>Ходить ніжка невеличка,&lt;br /&gt;</w:t>
        <w:br/>
        <w:t>В'ється локон золотий.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Місто пишне, місто бідне...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