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Підрахунок</w:t>
      </w:r>
    </w:p>
    <w:p>
      <w:r>
        <w:br/>
        <w:t xml:space="preserve"> Як вчора я з тобою розлучився,&lt;br /&gt;</w:t>
        <w:br/>
        <w:t>То перші двадцять років бути вчився&lt;br /&gt;</w:t>
        <w:br/>
        <w:t>Самотнім; років сорок ще втішався&lt;br /&gt;</w:t>
        <w:br/>
        <w:t>Запасом тим, що в споминах лишався;&lt;br /&gt;</w:t>
        <w:br/>
        <w:t>Й ще сорок літ надіявсь мати вісті&lt;br /&gt;</w:t>
        <w:br/>
        <w:t>Про тебе; плакав літ сто, нудивсь – двісті;&lt;br /&gt;</w:t>
        <w:br/>
        <w:t>А потім тисячу в розпуці був;&lt;br /&gt;</w:t>
        <w:br/>
        <w:t>Ще тисяча пройшла – й про все забув.&lt;br /&gt;</w:t>
        <w:br/>
        <w:t>Чи ж довголіття це? Ні, зором, слухом&lt;br /&gt;</w:t>
        <w:br/>
        <w:t>Я вмер – й уже безсмертний, ставши духом.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Підрахунок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