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Троянду і сонце, лілею й голубку...</w:t>
      </w:r>
    </w:p>
    <w:p>
      <w:r>
        <w:br/>
        <w:t xml:space="preserve"> Троянду і сонце, лілею й голубку&lt;br /&gt;</w:t>
        <w:br/>
        <w:t>Любив я колись, мов укохану любку.&lt;br /&gt;</w:t>
        <w:br/>
        <w:t>Тепер не люблю їх — люблю до загину&lt;br /&gt;</w:t>
        <w:br/>
        <w:t>Єдину, безвинну дитину, перлину;&lt;br /&gt;</w:t>
        <w:br/>
        <w:t>Віднині й навіки мені моя любка —&lt;br /&gt;</w:t>
        <w:br/>
        <w:t>Троянда і сонце, лілея й голубка.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Троянду і сонце, лілею й голубку...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