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 і мовчун</w:t>
      </w:r>
    </w:p>
    <w:p>
      <w:r>
        <w:br/>
        <w:t xml:space="preserve"> (Приказка)</w:t>
      </w:r>
    </w:p>
    <w:p>
      <w:r>
        <w:br/>
        <w:t>Цікавий, Мовчуна зустрівши раз, спитав:</w:t>
      </w:r>
    </w:p>
    <w:p>
      <w:r>
        <w:br/>
        <w:t>"Від чого голосний так дзвін той на дзвіниці?"&lt;br /&gt;</w:t>
        <w:br/>
        <w:t>"Від того, що (коли не втнеш сеї дурниці)&lt;br /&gt;</w:t>
        <w:br/>
        <w:t>Всередині, як ти, порожній він",— сказав.</w:t>
      </w:r>
    </w:p>
    <w:p>
      <w:r>
        <w:br/>
        <w:t>Харьков&lt;br /&gt;</w:t>
        <w:br/>
        <w:t>І декабря 1820 года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 і мовчун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