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мій Буба-чарівничка...</w:t>
      </w:r>
    </w:p>
    <w:p>
      <w:r>
        <w:br/>
        <w:t xml:space="preserve"> А мій Буба-чарівничка&lt;br /&gt;</w:t>
        <w:br/>
        <w:t>Знає, скільки два та одиничка.&lt;br /&gt;</w:t>
        <w:br/>
        <w:t>А іноді як піде,&lt;br /&gt;</w:t>
        <w:br/>
        <w:t>То і три з одним складе.&lt;br /&gt;</w:t>
        <w:br/>
        <w:t>А складати одиниці —&lt;br /&gt;</w:t>
        <w:br/>
        <w:t>Це йому одні дурниці.&lt;br /&gt;</w:t>
        <w:br/>
        <w:t>А як свіжа голова,&lt;br /&gt;</w:t>
        <w:br/>
        <w:t>Знає, скільки два та два.&lt;br /&gt;</w:t>
        <w:br/>
        <w:t>А як років сто мине —&lt;br /&gt;</w:t>
        <w:br/>
        <w:t>Й не таке іще утне.&lt;br /&gt;</w:t>
        <w:br/>
        <w:t>Хоч погані оці вірші,&lt;br /&gt;</w:t>
        <w:br/>
        <w:t>А бувають іще гірші.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мій Буба-чарівничка...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