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Кто шумєл?</w:t>
      </w:r>
    </w:p>
    <w:p>
      <w:r>
        <w:br/>
        <w:t xml:space="preserve"> В ресторані київськім&lt;br /&gt;</w:t>
        <w:br/>
        <w:t>Питає директор:&lt;br /&gt;</w:t>
        <w:br/>
        <w:t>— Кто шумєл здесь — контрольор,&lt;br /&gt;</w:t>
        <w:br/>
        <w:t>Ревізор, інспектор? —&lt;br /&gt;</w:t>
        <w:br/>
        <w:t>Кухар каже: — Ето тіп&lt;br /&gt;</w:t>
        <w:br/>
        <w:t>В вишітой рубашкє&lt;br /&gt;</w:t>
        <w:br/>
        <w:t>По-українскі мораль&lt;br /&gt;</w:t>
        <w:br/>
        <w:t>Рєзал нашей Машкє.&lt;br /&gt;</w:t>
        <w:br/>
        <w:t>Распєкал: "Ваш борщ такий.&lt;br /&gt;</w:t>
        <w:br/>
        <w:t>Що не можна їсти".&lt;br /&gt;</w:t>
        <w:br/>
        <w:t>— Розжірєлі, стєрвєци,&lt;br /&gt;</w:t>
        <w:br/>
        <w:t>Націоналісти.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Кто шумєл?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