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друга</w:t>
      </w:r>
    </w:p>
    <w:p>
      <w:r>
        <w:br/>
        <w:t xml:space="preserve"> І в День Перемоги, ніжний і туманний,&lt;br /&gt;</w:t>
        <w:br/>
        <w:t>Коли зоря, як заграва, красна,&lt;br /&gt;</w:t>
        <w:br/>
        <w:t>Вдовою у безіменної могили&lt;br /&gt;</w:t>
        <w:br/>
        <w:t>Клопочеться запізніла весна.&lt;br /&gt;</w:t>
        <w:br/>
        <w:t>Вона з колін піднятися не поспішає,&lt;br /&gt;</w:t>
        <w:br/>
        <w:t>Дихне на нирку, і траву погладить,&lt;br /&gt;</w:t>
        <w:br/>
        <w:t>І метелика з плеча на землю ссадит,&lt;br /&gt;</w:t>
        <w:br/>
        <w:t>І перший кульбаба распушит.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друга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