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Пересторога</w:t>
      </w:r>
    </w:p>
    <w:p>
      <w:r>
        <w:br/>
        <w:t xml:space="preserve"> Verletze nicht durch kalten Ton...</w:t>
      </w:r>
    </w:p>
    <w:p>
      <w:r>
        <w:br/>
        <w:t>Словом зимним не важся вражати&lt;br /&gt;</w:t>
        <w:br/>
        <w:t>Юнака, що прийшов до порога&lt;br /&gt;</w:t>
        <w:br/>
        <w:t>В тебе ласки, убогий, прохати.&lt;br /&gt;</w:t>
        <w:br/>
        <w:t>Стережись! Може, він є Син Бога?</w:t>
      </w:r>
    </w:p>
    <w:p>
      <w:r>
        <w:br/>
        <w:t>Стережись! Бо як прийде у славі&lt;br /&gt;</w:t>
        <w:br/>
        <w:t>Він, одзначений ласкою Бога,&lt;br /&gt;</w:t>
        <w:br/>
        <w:t>То тоді твої очі лукаві&lt;br /&gt;</w:t>
        <w:br/>
        <w:t>Не знесуть його сяйва святого.</w:t>
      </w:r>
    </w:p>
    <w:p>
      <w:r>
        <w:br/>
        <w:t>Відень, 1895р.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Пересторога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