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Швидкість</w:t>
      </w:r>
    </w:p>
    <w:p>
      <w:r>
        <w:br/>
        <w:t xml:space="preserve"> Як всюдисуща біда чорнокрила...&lt;br /&gt;</w:t>
        <w:br/>
        <w:t>Ти, що не маєш душі ані тіла,&lt;br /&gt;</w:t>
        <w:br/>
        <w:t>Коршуном лютим на світ налетіла,&lt;br /&gt;</w:t>
        <w:br/>
        <w:t>Все покалічила, все покорила —&lt;br /&gt;</w:t>
        <w:br/>
        <w:t>І нічогісінько не взяла.</w:t>
      </w:r>
    </w:p>
    <w:p>
      <w:r>
        <w:br/>
        <w:t>8 серпня 1959. Ранок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Швидкість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