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Відчай старої</w:t>
      </w:r>
    </w:p>
    <w:p>
      <w:r>
        <w:br/>
        <w:t xml:space="preserve"> Маленька зморшкувата бабця почувалась цілком щасливою, дивлячись на це миле дитя, яке всі бавили й кожен хотів йому сподобатися; на це чарівне створіння, крихке, як і вона, старенька, й подібно до неї – без волосся й зубів.</w:t>
      </w:r>
    </w:p>
    <w:p>
      <w:r>
        <w:br/>
        <w:t>І вона наблизилася, бо захотіла до нього всміхнутися й привітно поглянути.</w:t>
      </w:r>
    </w:p>
    <w:p>
      <w:r>
        <w:br/>
        <w:t>Та налякане дитя відкинуло вияви ніжності доброї, кволої бабці, й на весь дім залунав його плач.</w:t>
      </w:r>
    </w:p>
    <w:p>
      <w:r>
        <w:br/>
        <w:t>Тож старенька відійшла у своїй вічній самотності й заплакала в кутку, примовляючи: "О! для нас, нещасних старих самиць, час подобатися навіть невинним істотам уже проминув; ми наводимо жах на малих дітей, яких так хочемо любити!"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Відчай старої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